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57"/>
      </w:pPr>
      <w:r>
        <w:rPr>
          <w:rFonts w:ascii="Helvetica" w:hAnsi="Helvetica" w:cs="Helvetica"/>
          <w:sz w:val="53"/>
          <w:sz-cs w:val="53"/>
          <w:b/>
          <w:spacing w:val="0"/>
        </w:rPr>
        <w:t xml:space="preserve">Competitor Analysis Worksheet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i/>
          <w:spacing w:val="0"/>
        </w:rPr>
        <w:t xml:space="preserve">Understand your local competitive landscape.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Competitor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Services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Price Range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Strengths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Weaknesses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What You'll Do Differently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  <w:color w:val="646464"/>
        </w:rPr>
        <w:t xml:space="preserve">Provided free by OnlineListing (onlinelisting.com/resources) â€” a starting point to adapt for your business, not a legal or financial document.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CocoaOOXMLWriter/2575.7</generator>
</meta>
</file>